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5" w:rsidRPr="00EC3A03" w:rsidRDefault="002A1C45" w:rsidP="002A1C45">
      <w:pPr>
        <w:shd w:val="clear" w:color="auto" w:fill="FFFFFF"/>
        <w:spacing w:line="370" w:lineRule="exact"/>
        <w:ind w:right="53"/>
        <w:rPr>
          <w:color w:val="323232"/>
          <w:spacing w:val="3"/>
          <w:w w:val="94"/>
          <w:sz w:val="34"/>
          <w:szCs w:val="34"/>
          <w:lang w:val="uk-UA"/>
        </w:rPr>
      </w:pPr>
    </w:p>
    <w:p w:rsidR="002A1C45" w:rsidRPr="002A1C45" w:rsidRDefault="002A1C45" w:rsidP="002A1C45">
      <w:pPr>
        <w:shd w:val="clear" w:color="auto" w:fill="FFFFFF"/>
        <w:ind w:right="53"/>
        <w:jc w:val="center"/>
        <w:rPr>
          <w:b/>
          <w:bCs/>
          <w:color w:val="FF0000"/>
          <w:spacing w:val="20"/>
          <w:w w:val="80"/>
          <w:sz w:val="72"/>
          <w:szCs w:val="72"/>
          <w:lang w:val="uk-UA"/>
        </w:rPr>
      </w:pPr>
      <w:r>
        <w:rPr>
          <w:b/>
          <w:bCs/>
          <w:color w:val="000080"/>
          <w:spacing w:val="20"/>
          <w:w w:val="80"/>
          <w:sz w:val="72"/>
          <w:szCs w:val="72"/>
          <w:lang w:val="uk-UA"/>
        </w:rPr>
        <w:t xml:space="preserve"> </w:t>
      </w:r>
      <w:r w:rsidRPr="00667DAC">
        <w:rPr>
          <w:b/>
          <w:bCs/>
          <w:color w:val="000080"/>
          <w:spacing w:val="20"/>
          <w:w w:val="80"/>
          <w:sz w:val="72"/>
          <w:szCs w:val="72"/>
        </w:rPr>
        <w:t xml:space="preserve"> </w:t>
      </w:r>
      <w:r>
        <w:rPr>
          <w:b/>
          <w:bCs/>
          <w:color w:val="000080"/>
          <w:spacing w:val="20"/>
          <w:w w:val="80"/>
          <w:sz w:val="72"/>
          <w:szCs w:val="72"/>
        </w:rPr>
        <w:t xml:space="preserve">  </w:t>
      </w:r>
      <w:r w:rsidRPr="002A1C45">
        <w:rPr>
          <w:b/>
          <w:bCs/>
          <w:color w:val="FF0000"/>
          <w:spacing w:val="20"/>
          <w:w w:val="80"/>
          <w:sz w:val="72"/>
          <w:szCs w:val="72"/>
        </w:rPr>
        <w:t>РЕКОМЕНДАЦІЇ</w:t>
      </w:r>
    </w:p>
    <w:p w:rsidR="002A1C45" w:rsidRPr="00EC3A03" w:rsidRDefault="002A1C45" w:rsidP="002A1C45">
      <w:pPr>
        <w:shd w:val="clear" w:color="auto" w:fill="FFFFFF"/>
        <w:ind w:right="53"/>
        <w:jc w:val="center"/>
        <w:rPr>
          <w:color w:val="000080"/>
          <w:spacing w:val="20"/>
          <w:w w:val="80"/>
          <w:sz w:val="36"/>
          <w:szCs w:val="72"/>
          <w:lang w:val="uk-UA"/>
        </w:rPr>
      </w:pPr>
    </w:p>
    <w:p w:rsidR="002A1C45" w:rsidRPr="002A1C45" w:rsidRDefault="002A1C45" w:rsidP="002A1C45">
      <w:pPr>
        <w:autoSpaceDE w:val="0"/>
        <w:autoSpaceDN w:val="0"/>
        <w:adjustRightInd w:val="0"/>
        <w:ind w:hanging="180"/>
        <w:jc w:val="center"/>
        <w:rPr>
          <w:rFonts w:ascii="Monotype Corsiva" w:eastAsia="TimesNewRomanPSMT" w:hAnsi="Monotype Corsiva" w:cs="TimesNewRomanPSMT"/>
          <w:b/>
          <w:color w:val="0070C0"/>
          <w:sz w:val="52"/>
          <w:szCs w:val="52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color w:val="0070C0"/>
          <w:sz w:val="52"/>
          <w:szCs w:val="52"/>
          <w:lang w:val="uk-UA"/>
        </w:rPr>
        <w:t>щодо дій населення в разі отримання інформації</w:t>
      </w:r>
    </w:p>
    <w:p w:rsidR="002A1C45" w:rsidRPr="002A1C45" w:rsidRDefault="002A1C45" w:rsidP="002A1C45">
      <w:pPr>
        <w:autoSpaceDE w:val="0"/>
        <w:autoSpaceDN w:val="0"/>
        <w:adjustRightInd w:val="0"/>
        <w:ind w:left="-360"/>
        <w:jc w:val="center"/>
        <w:rPr>
          <w:rFonts w:ascii="Monotype Corsiva" w:eastAsia="TimesNewRomanPSMT" w:hAnsi="Monotype Corsiva" w:cs="TimesNewRomanPSMT"/>
          <w:b/>
          <w:color w:val="0070C0"/>
          <w:sz w:val="52"/>
          <w:szCs w:val="52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color w:val="0070C0"/>
          <w:sz w:val="52"/>
          <w:szCs w:val="52"/>
          <w:lang w:val="uk-UA"/>
        </w:rPr>
        <w:t>про загрозу вчинення терористичного акту або виявлення підозрілих предметів</w:t>
      </w:r>
      <w:r w:rsidRPr="002A1C45">
        <w:rPr>
          <w:rFonts w:ascii="Monotype Corsiva" w:eastAsia="TimesNewRomanPSMT" w:hAnsi="Monotype Corsiva"/>
          <w:b/>
          <w:color w:val="0070C0"/>
          <w:sz w:val="52"/>
          <w:szCs w:val="52"/>
          <w:lang w:val="uk-UA"/>
        </w:rPr>
        <w:t xml:space="preserve">, </w:t>
      </w:r>
      <w:r w:rsidRPr="002A1C45">
        <w:rPr>
          <w:rFonts w:ascii="Monotype Corsiva" w:eastAsia="TimesNewRomanPSMT" w:hAnsi="Monotype Corsiva" w:cs="TimesNewRomanPSMT"/>
          <w:b/>
          <w:color w:val="0070C0"/>
          <w:sz w:val="52"/>
          <w:szCs w:val="52"/>
          <w:lang w:val="uk-UA"/>
        </w:rPr>
        <w:t>що можуть бути  використані для вчинення терористичного акту</w:t>
      </w:r>
    </w:p>
    <w:p w:rsidR="002A1C45" w:rsidRPr="00532BB9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jc w:val="center"/>
        <w:rPr>
          <w:rFonts w:ascii="Monotype Corsiva" w:eastAsia="TimesNewRomanPS-BoldMT" w:hAnsi="Monotype Corsiva" w:cs="TimesNewRomanPS-BoldMT"/>
          <w:b/>
          <w:bCs/>
          <w:color w:val="CC3300"/>
          <w:sz w:val="52"/>
          <w:szCs w:val="52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5143500" cy="3870325"/>
            <wp:effectExtent l="19050" t="0" r="0" b="0"/>
            <wp:wrapTight wrapText="bothSides">
              <wp:wrapPolygon edited="0">
                <wp:start x="-80" y="0"/>
                <wp:lineTo x="-80" y="21476"/>
                <wp:lineTo x="21600" y="21476"/>
                <wp:lineTo x="21600" y="0"/>
                <wp:lineTo x="-80" y="0"/>
              </wp:wrapPolygon>
            </wp:wrapTight>
            <wp:docPr id="10" name="Рисунок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Pr="00EC3A03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tabs>
          <w:tab w:val="left" w:pos="2340"/>
          <w:tab w:val="center" w:pos="4860"/>
        </w:tabs>
        <w:autoSpaceDE w:val="0"/>
        <w:autoSpaceDN w:val="0"/>
        <w:adjustRightInd w:val="0"/>
        <w:rPr>
          <w:rFonts w:eastAsia="TimesNewRomanPS-BoldMT" w:cs="TimesNewRomanPS-BoldMT"/>
          <w:b/>
          <w:bCs/>
          <w:sz w:val="28"/>
          <w:szCs w:val="28"/>
          <w:lang w:val="uk-UA"/>
        </w:rPr>
      </w:pPr>
    </w:p>
    <w:p w:rsid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sz w:val="36"/>
          <w:szCs w:val="36"/>
          <w:lang w:val="uk-UA"/>
        </w:rPr>
      </w:pP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lastRenderedPageBreak/>
        <w:t>Рекомендації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щодо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дій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населення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в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разі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отримання</w:t>
      </w:r>
    </w:p>
    <w:p w:rsid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sz w:val="36"/>
          <w:szCs w:val="36"/>
          <w:lang w:val="uk-UA"/>
        </w:rPr>
      </w:pP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інформації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про</w:t>
      </w:r>
      <w:r>
        <w:rPr>
          <w:rFonts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погрозу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вчинення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терористичного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 xml:space="preserve"> </w:t>
      </w:r>
      <w:r w:rsidRPr="00AE733E">
        <w:rPr>
          <w:rFonts w:ascii="TimesNewRomanPSMT" w:eastAsia="TimesNewRomanPSMT" w:cs="TimesNewRomanPSMT"/>
          <w:b/>
          <w:bCs/>
          <w:sz w:val="36"/>
          <w:szCs w:val="36"/>
          <w:lang w:val="uk-UA"/>
        </w:rPr>
        <w:t>акту</w:t>
      </w:r>
    </w:p>
    <w:p w:rsid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b/>
          <w:bCs/>
          <w:sz w:val="16"/>
          <w:szCs w:val="36"/>
          <w:lang w:val="uk-UA"/>
        </w:rPr>
      </w:pPr>
    </w:p>
    <w:p w:rsidR="002A1C45" w:rsidRPr="00676701" w:rsidRDefault="002A1C45" w:rsidP="002A1C45">
      <w:pPr>
        <w:autoSpaceDE w:val="0"/>
        <w:autoSpaceDN w:val="0"/>
        <w:adjustRightInd w:val="0"/>
        <w:spacing w:after="0"/>
        <w:ind w:hanging="180"/>
        <w:jc w:val="both"/>
        <w:rPr>
          <w:rFonts w:eastAsia="TimesNewRomanPSMT"/>
          <w:b/>
          <w:i/>
          <w:color w:val="000080"/>
          <w:sz w:val="36"/>
          <w:szCs w:val="36"/>
          <w:lang w:val="uk-UA"/>
        </w:rPr>
      </w:pP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При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отриманні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інформації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по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телефону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, 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рекомендується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>: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hAnsi="Monotype Corsiva"/>
          <w:shadow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123190</wp:posOffset>
            </wp:positionV>
            <wp:extent cx="2362200" cy="1480820"/>
            <wp:effectExtent l="19050" t="0" r="0" b="0"/>
            <wp:wrapTight wrapText="bothSides">
              <wp:wrapPolygon edited="0">
                <wp:start x="-174" y="0"/>
                <wp:lineTo x="-174" y="21396"/>
                <wp:lineTo x="21600" y="21396"/>
                <wp:lineTo x="21600" y="0"/>
                <wp:lineTo x="-174" y="0"/>
              </wp:wrapPolygon>
            </wp:wrapTight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45">
        <w:rPr>
          <w:rFonts w:ascii="Monotype Corsiva" w:eastAsia="TimesNewRomanPSMT" w:hAnsi="Monotype Corsiva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класти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передчасно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слухавку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/>
          <w:b/>
          <w:shadow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’ясувати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вимоги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аноніма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інформацію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характер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погрози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/>
          <w:b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важно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вислухати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можливістю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записати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вимоги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С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пробувати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час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розмови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визначити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стать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вік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особливості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мови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особи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зателефонувала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апропонувати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повторити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вимоги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поставити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proofErr w:type="spellStart"/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уточнювальні</w:t>
      </w:r>
      <w:proofErr w:type="spellEnd"/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запитання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характер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погрози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час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її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реалізації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мотивувати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аноніма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надати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якнайбільше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інформації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вчинення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терористичного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акту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становити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мотиви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дій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аноніма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поставити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запитання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цілі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переслідує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анонім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запропонувати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інші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шляхи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вирішення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вимог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tabs>
          <w:tab w:val="left" w:pos="4320"/>
        </w:tabs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2075180" cy="1662430"/>
            <wp:effectExtent l="19050" t="0" r="1270" b="0"/>
            <wp:wrapTight wrapText="bothSides">
              <wp:wrapPolygon edited="0">
                <wp:start x="-198" y="0"/>
                <wp:lineTo x="-198" y="21286"/>
                <wp:lineTo x="21613" y="21286"/>
                <wp:lineTo x="21613" y="0"/>
                <wp:lineTo x="-198" y="0"/>
              </wp:wrapPolygon>
            </wp:wrapTight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бов’язково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звернути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увагу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фонові</w:t>
      </w:r>
    </w:p>
    <w:p w:rsidR="002A1C45" w:rsidRPr="002A1C45" w:rsidRDefault="002A1C45" w:rsidP="002A1C45">
      <w:pPr>
        <w:tabs>
          <w:tab w:val="left" w:pos="4320"/>
        </w:tabs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звуки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/>
          <w:sz w:val="28"/>
          <w:szCs w:val="28"/>
          <w:lang w:val="uk-UA"/>
        </w:rPr>
        <w:t>(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шум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вулиці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машин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proofErr w:type="spellStart"/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проїжд</w:t>
      </w:r>
      <w:r w:rsidRPr="002A1C45">
        <w:rPr>
          <w:rFonts w:eastAsia="TimesNewRomanPSMT" w:cs="TimesNewRomanPSMT"/>
          <w:sz w:val="28"/>
          <w:szCs w:val="28"/>
          <w:lang w:val="uk-UA"/>
        </w:rPr>
        <w:t>-</w:t>
      </w:r>
      <w:proofErr w:type="spellEnd"/>
    </w:p>
    <w:p w:rsidR="002A1C45" w:rsidRPr="002A1C45" w:rsidRDefault="002A1C45" w:rsidP="002A1C45">
      <w:pPr>
        <w:tabs>
          <w:tab w:val="left" w:pos="432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proofErr w:type="spellStart"/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жають</w:t>
      </w:r>
      <w:proofErr w:type="spellEnd"/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музику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звуки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що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допоможе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</w:t>
      </w:r>
    </w:p>
    <w:p w:rsidR="002A1C45" w:rsidRPr="002A1C45" w:rsidRDefault="002A1C45" w:rsidP="002A1C45">
      <w:pPr>
        <w:tabs>
          <w:tab w:val="left" w:pos="4320"/>
        </w:tabs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подальшому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визначити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місце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звідки</w:t>
      </w:r>
    </w:p>
    <w:p w:rsidR="002A1C45" w:rsidRPr="002A1C45" w:rsidRDefault="002A1C45" w:rsidP="002A1C45">
      <w:pPr>
        <w:tabs>
          <w:tab w:val="left" w:pos="432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здійснено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дзвінок</w:t>
      </w:r>
      <w:r w:rsidRPr="002A1C45">
        <w:rPr>
          <w:rFonts w:eastAsia="TimesNewRomanPSMT"/>
          <w:sz w:val="28"/>
          <w:szCs w:val="28"/>
          <w:lang w:val="uk-UA"/>
        </w:rPr>
        <w:t>).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акінчуючи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розмову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анонімом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повторити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основні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моменти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бесіди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ним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П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ісля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завершення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розмови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повідомити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погрозу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правоохоронні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органи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розширювати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коло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осіб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знають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погрозу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676701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i/>
          <w:color w:val="000080"/>
          <w:sz w:val="18"/>
          <w:szCs w:val="30"/>
          <w:lang w:val="uk-UA"/>
        </w:rPr>
      </w:pPr>
    </w:p>
    <w:p w:rsidR="002A1C45" w:rsidRPr="00676701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b/>
          <w:i/>
          <w:color w:val="000080"/>
          <w:sz w:val="36"/>
          <w:szCs w:val="36"/>
          <w:lang w:val="uk-UA"/>
        </w:rPr>
      </w:pP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При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отриманні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інформації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поштою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, 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рекомендується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>:</w:t>
      </w:r>
    </w:p>
    <w:p w:rsidR="002A1C45" w:rsidRPr="007B647B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b/>
          <w:i/>
          <w:color w:val="FF0000"/>
          <w:sz w:val="12"/>
          <w:szCs w:val="36"/>
          <w:lang w:val="uk-UA"/>
        </w:rPr>
      </w:pPr>
      <w:r>
        <w:rPr>
          <w:rFonts w:eastAsia="TimesNewRomanPSMT"/>
          <w:b/>
          <w:i/>
          <w:noProof/>
          <w:color w:val="FF0000"/>
          <w:sz w:val="12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24130</wp:posOffset>
            </wp:positionV>
            <wp:extent cx="1851660" cy="1945640"/>
            <wp:effectExtent l="19050" t="0" r="0" b="0"/>
            <wp:wrapTight wrapText="bothSides">
              <wp:wrapPolygon edited="0">
                <wp:start x="-222" y="0"/>
                <wp:lineTo x="-222" y="21360"/>
                <wp:lineTo x="21556" y="21360"/>
                <wp:lineTo x="21556" y="0"/>
                <wp:lineTo x="-222" y="0"/>
              </wp:wrapPolygon>
            </wp:wrapTight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П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оводитися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максимально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обережно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посланням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бов’язково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зберігати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послання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усіма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матеріалами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/>
          <w:sz w:val="28"/>
          <w:szCs w:val="28"/>
          <w:lang w:val="uk-UA"/>
        </w:rPr>
        <w:t>(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лист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текстом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будь</w:t>
      </w:r>
      <w:r w:rsidRPr="002A1C45">
        <w:rPr>
          <w:rFonts w:eastAsia="TimesNewRomanPSMT" w:cs="TimesNewRomanPSMT"/>
          <w:sz w:val="28"/>
          <w:szCs w:val="28"/>
          <w:lang w:val="uk-UA"/>
        </w:rPr>
        <w:t>-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вкладення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конверт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обгортку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тощо</w:t>
      </w:r>
      <w:r w:rsidRPr="002A1C45">
        <w:rPr>
          <w:rFonts w:eastAsia="TimesNewRomanPSMT"/>
          <w:sz w:val="28"/>
          <w:szCs w:val="28"/>
          <w:lang w:val="uk-UA"/>
        </w:rPr>
        <w:t>).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зшивати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склеювати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робити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написи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підкреслювати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або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обводити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окремі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місця</w:t>
      </w:r>
      <w:r w:rsidRPr="002A1C45">
        <w:rPr>
          <w:rFonts w:eastAsia="TimesNewRomanPSMT"/>
          <w:sz w:val="28"/>
          <w:szCs w:val="28"/>
          <w:lang w:val="uk-UA"/>
        </w:rPr>
        <w:t>;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lastRenderedPageBreak/>
        <w:t>П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овідомити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погрозу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правоохоронні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органи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передати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їм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анонімні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матеріали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розширювати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коло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осіб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знають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погрозу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передачу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матеріалів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правоохоронні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органи</w:t>
      </w:r>
    </w:p>
    <w:p w:rsidR="002A1C45" w:rsidRPr="00DF57E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sz w:val="20"/>
          <w:szCs w:val="28"/>
          <w:lang w:val="uk-UA"/>
        </w:rPr>
      </w:pP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</w:pP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Рекомендації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щодо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дій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населення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в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разі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виявлення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</w:pP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>п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ідозрілих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предметів</w:t>
      </w:r>
      <w:r w:rsidRPr="002A1C45">
        <w:rPr>
          <w:rFonts w:eastAsia="TimesNewRomanPSMT"/>
          <w:b/>
          <w:bCs/>
          <w:color w:val="FF0000"/>
          <w:sz w:val="36"/>
          <w:szCs w:val="36"/>
          <w:lang w:val="uk-UA"/>
        </w:rPr>
        <w:t xml:space="preserve">, 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що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можуть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бути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використані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</w:pP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для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вчинення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терористичного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eastAsia="TimesNewRomanPSMT" w:cs="TimesNewRomanPSMT"/>
          <w:b/>
          <w:bCs/>
          <w:color w:val="FF0000"/>
          <w:sz w:val="36"/>
          <w:szCs w:val="36"/>
          <w:lang w:val="uk-UA"/>
        </w:rPr>
        <w:t xml:space="preserve"> </w:t>
      </w:r>
      <w:r w:rsidRPr="002A1C45">
        <w:rPr>
          <w:rFonts w:ascii="TimesNewRomanPSMT" w:eastAsia="TimesNewRomanPSMT" w:cs="TimesNewRomanPSMT"/>
          <w:b/>
          <w:bCs/>
          <w:color w:val="FF0000"/>
          <w:sz w:val="36"/>
          <w:szCs w:val="36"/>
          <w:lang w:val="uk-UA"/>
        </w:rPr>
        <w:t>акту</w:t>
      </w:r>
    </w:p>
    <w:p w:rsidR="002A1C45" w:rsidRPr="00DF57E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bCs/>
          <w:sz w:val="12"/>
          <w:szCs w:val="36"/>
          <w:lang w:val="uk-UA"/>
        </w:rPr>
      </w:pPr>
    </w:p>
    <w:p w:rsidR="002A1C45" w:rsidRPr="00676701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</w:pP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У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разі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виявлення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підозрілого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предмета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, 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схожого</w:t>
      </w:r>
    </w:p>
    <w:p w:rsid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/>
          <w:b/>
          <w:i/>
          <w:color w:val="000080"/>
          <w:sz w:val="36"/>
          <w:szCs w:val="36"/>
          <w:lang w:val="uk-UA"/>
        </w:rPr>
      </w:pP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на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вибуховий</w:t>
      </w:r>
      <w:r w:rsidRPr="00676701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пристрій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,  </w:t>
      </w:r>
      <w:r w:rsidRPr="00676701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рекомендується</w:t>
      </w:r>
      <w:r w:rsidRPr="00676701">
        <w:rPr>
          <w:rFonts w:eastAsia="TimesNewRomanPSMT"/>
          <w:b/>
          <w:i/>
          <w:color w:val="000080"/>
          <w:sz w:val="36"/>
          <w:szCs w:val="36"/>
          <w:lang w:val="uk-UA"/>
        </w:rPr>
        <w:t>:</w:t>
      </w:r>
    </w:p>
    <w:p w:rsidR="002A1C45" w:rsidRPr="00E31D10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b/>
          <w:i/>
          <w:color w:val="000080"/>
          <w:sz w:val="10"/>
          <w:szCs w:val="36"/>
          <w:lang w:val="uk-UA"/>
        </w:rPr>
      </w:pP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ascii="TimesNewRomanPSMT" w:eastAsia="TimesNewRomanPSMT" w:cs="TimesNewRomanPSMT"/>
          <w:b/>
          <w:i/>
          <w:color w:val="000080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торкатися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виявленого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підозрілого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підходити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283460" cy="2400300"/>
            <wp:effectExtent l="19050" t="0" r="2540" b="0"/>
            <wp:wrapTight wrapText="bothSides">
              <wp:wrapPolygon edited="0">
                <wp:start x="-180" y="0"/>
                <wp:lineTo x="-180" y="21429"/>
                <wp:lineTo x="21624" y="21429"/>
                <wp:lineTo x="21624" y="0"/>
                <wp:lineTo x="-180" y="0"/>
              </wp:wrapPolygon>
            </wp:wrapTight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пересувати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його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тримуватися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від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куріння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використання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засобів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радіозв’язку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тому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числі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мобільного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поблизу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даного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робити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самостійних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дій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підозрілими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предметами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можливістю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забезпечити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охорону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підозрілого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небезпечної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зони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. </w:t>
      </w: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П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ід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час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охорони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підозрілого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знаходитися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захисними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спорудами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чи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предметами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вести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спостереження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С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пробувати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повідомити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виявлення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підозрілого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інших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осіб</w:t>
      </w:r>
      <w:r w:rsidRPr="002A1C45">
        <w:rPr>
          <w:rFonts w:eastAsia="TimesNewRomanPSMT"/>
          <w:sz w:val="28"/>
          <w:szCs w:val="28"/>
          <w:lang w:val="uk-UA"/>
        </w:rPr>
        <w:t>,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377190</wp:posOffset>
            </wp:positionV>
            <wp:extent cx="2768600" cy="2367280"/>
            <wp:effectExtent l="19050" t="0" r="0" b="0"/>
            <wp:wrapTight wrapText="bothSides">
              <wp:wrapPolygon edited="0">
                <wp:start x="-149" y="0"/>
                <wp:lineTo x="-149" y="21380"/>
                <wp:lineTo x="21550" y="21380"/>
                <wp:lineTo x="21550" y="0"/>
                <wp:lineTo x="-149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знаходяться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поруч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забезпечити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їх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евакуацію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території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що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прилягає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до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небезпечної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зони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С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повістити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небезпечну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знахідку</w:t>
      </w:r>
      <w:r w:rsidRPr="002A1C45">
        <w:rPr>
          <w:rFonts w:eastAsia="TimesNewRomanPSMT" w:cs="TimesNewRomanPSMT"/>
          <w:sz w:val="28"/>
          <w:szCs w:val="28"/>
          <w:lang w:val="uk-UA"/>
        </w:rPr>
        <w:t>:</w:t>
      </w:r>
    </w:p>
    <w:p w:rsidR="002A1C45" w:rsidRPr="002A1C45" w:rsidRDefault="002A1C45" w:rsidP="002A1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будь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-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який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орган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місцевої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влади</w:t>
      </w:r>
      <w:r w:rsidRPr="002A1C45">
        <w:rPr>
          <w:rFonts w:eastAsia="TimesNewRomanPSMT"/>
          <w:sz w:val="28"/>
          <w:szCs w:val="28"/>
          <w:lang w:val="uk-UA"/>
        </w:rPr>
        <w:t>;</w:t>
      </w:r>
    </w:p>
    <w:p w:rsidR="002A1C45" w:rsidRPr="002A1C45" w:rsidRDefault="002A1C45" w:rsidP="002A1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чергові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служби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правоохоронних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органів</w:t>
      </w:r>
      <w:r w:rsidRPr="002A1C45">
        <w:rPr>
          <w:rFonts w:eastAsia="TimesNewRomanPSMT" w:cs="TimesNewRomanPSMT"/>
          <w:sz w:val="28"/>
          <w:szCs w:val="28"/>
          <w:lang w:val="uk-UA"/>
        </w:rPr>
        <w:t>.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ада</w:t>
      </w:r>
      <w:r w:rsidRPr="002A1C45">
        <w:rPr>
          <w:rFonts w:eastAsia="TimesNewRomanPSMT" w:cs="TimesNewRomanPSMT"/>
          <w:sz w:val="28"/>
          <w:szCs w:val="28"/>
          <w:lang w:val="uk-UA"/>
        </w:rPr>
        <w:t>ти їм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інформаці</w:t>
      </w:r>
      <w:r w:rsidRPr="002A1C45">
        <w:rPr>
          <w:rFonts w:eastAsia="TimesNewRomanPSMT" w:cs="TimesNewRomanPSMT"/>
          <w:sz w:val="28"/>
          <w:szCs w:val="28"/>
          <w:lang w:val="uk-UA"/>
        </w:rPr>
        <w:t>ю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характерні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ознаки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ймовірного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вибухового</w:t>
      </w:r>
      <w:r>
        <w:rPr>
          <w:rFonts w:eastAsia="TimesNewRomanPSMT" w:cs="TimesNewRomanPSMT"/>
          <w:sz w:val="28"/>
          <w:szCs w:val="28"/>
          <w:lang w:val="uk-UA"/>
        </w:rPr>
        <w:t xml:space="preserve"> п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ристрою</w:t>
      </w:r>
      <w:r w:rsidRPr="002A1C45">
        <w:rPr>
          <w:rFonts w:eastAsia="TimesNewRomanPSMT"/>
          <w:sz w:val="28"/>
          <w:szCs w:val="28"/>
          <w:lang w:val="uk-UA"/>
        </w:rPr>
        <w:t>:</w:t>
      </w:r>
    </w:p>
    <w:p w:rsidR="002A1C45" w:rsidRPr="002A1C45" w:rsidRDefault="002A1C45" w:rsidP="002A1C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розташування</w:t>
      </w:r>
      <w:r w:rsidRPr="002A1C45">
        <w:rPr>
          <w:rFonts w:eastAsia="TimesNewRomanPSMT"/>
          <w:sz w:val="28"/>
          <w:szCs w:val="28"/>
          <w:lang w:val="uk-UA"/>
        </w:rPr>
        <w:t>;</w:t>
      </w:r>
    </w:p>
    <w:p w:rsidR="002A1C45" w:rsidRPr="002A1C45" w:rsidRDefault="002A1C45" w:rsidP="002A1C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час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виявлення</w:t>
      </w:r>
      <w:r w:rsidRPr="002A1C45">
        <w:rPr>
          <w:rFonts w:eastAsia="TimesNewRomanPSMT" w:cs="TimesNewRomanPSMT"/>
          <w:sz w:val="28"/>
          <w:szCs w:val="28"/>
          <w:lang w:val="uk-UA"/>
        </w:rPr>
        <w:t>;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</w:p>
    <w:p w:rsidR="002A1C45" w:rsidRPr="002A1C45" w:rsidRDefault="002A1C45" w:rsidP="002A1C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особу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його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виявила</w:t>
      </w:r>
      <w:r w:rsidRPr="002A1C45">
        <w:rPr>
          <w:rFonts w:eastAsia="TimesNewRomanPSMT"/>
          <w:sz w:val="28"/>
          <w:szCs w:val="28"/>
          <w:lang w:val="uk-UA"/>
        </w:rPr>
        <w:t xml:space="preserve">. 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Д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очекатися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прибуття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виявлення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небезпечної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знахідки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фахівців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lastRenderedPageBreak/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піротехніків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амагатися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максимально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запам’ятати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зовнішність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одяг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осіб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залишили</w:t>
      </w:r>
    </w:p>
    <w:p w:rsid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їхній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транспорт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номерні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знаки</w:t>
      </w:r>
      <w:r w:rsidRPr="00A92F77">
        <w:rPr>
          <w:rFonts w:eastAsia="TimesNewRomanPSMT"/>
          <w:sz w:val="28"/>
          <w:szCs w:val="28"/>
          <w:lang w:val="uk-UA"/>
        </w:rPr>
        <w:t>.</w:t>
      </w:r>
    </w:p>
    <w:p w:rsidR="002A1C45" w:rsidRPr="00DF57E5" w:rsidRDefault="002A1C45" w:rsidP="002A1C45">
      <w:pPr>
        <w:tabs>
          <w:tab w:val="left" w:pos="4280"/>
        </w:tabs>
        <w:autoSpaceDE w:val="0"/>
        <w:autoSpaceDN w:val="0"/>
        <w:adjustRightInd w:val="0"/>
        <w:spacing w:after="0"/>
        <w:jc w:val="both"/>
        <w:rPr>
          <w:rFonts w:eastAsia="TimesNewRomanPSMT"/>
          <w:i/>
          <w:sz w:val="2"/>
          <w:szCs w:val="28"/>
          <w:lang w:val="uk-UA"/>
        </w:rPr>
      </w:pPr>
    </w:p>
    <w:p w:rsidR="002A1C45" w:rsidRPr="00DF57E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i/>
          <w:sz w:val="2"/>
          <w:szCs w:val="28"/>
          <w:lang w:val="uk-UA"/>
        </w:rPr>
      </w:pPr>
    </w:p>
    <w:p w:rsid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</w:pP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Основні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характерні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ознаки</w:t>
      </w:r>
      <w:r w:rsidRPr="00F0057D"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, </w:t>
      </w:r>
      <w:r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eastAsia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що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вказують</w:t>
      </w:r>
      <w:r w:rsidRPr="00F0057D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</w:p>
    <w:p w:rsid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</w:pP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>н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а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можливу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належність</w:t>
      </w:r>
      <w:r w:rsidRPr="00F0057D"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підозрілого</w:t>
      </w:r>
    </w:p>
    <w:p w:rsidR="002A1C4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</w:pP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предмета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до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вибухового</w:t>
      </w:r>
      <w:r>
        <w:rPr>
          <w:rFonts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 xml:space="preserve"> </w:t>
      </w:r>
      <w:r w:rsidRPr="00F0057D">
        <w:rPr>
          <w:rFonts w:ascii="TimesNewRomanPSMT" w:eastAsia="TimesNewRomanPSMT" w:cs="TimesNewRomanPSMT"/>
          <w:b/>
          <w:i/>
          <w:color w:val="000080"/>
          <w:sz w:val="36"/>
          <w:szCs w:val="36"/>
          <w:lang w:val="uk-UA"/>
        </w:rPr>
        <w:t>пристрою</w:t>
      </w:r>
      <w:r w:rsidRPr="00F0057D">
        <w:rPr>
          <w:rFonts w:eastAsia="TimesNewRomanPSMT"/>
          <w:b/>
          <w:i/>
          <w:color w:val="000080"/>
          <w:sz w:val="36"/>
          <w:szCs w:val="36"/>
          <w:lang w:val="uk-UA"/>
        </w:rPr>
        <w:t>:</w:t>
      </w:r>
    </w:p>
    <w:p w:rsidR="002A1C45" w:rsidRPr="00DF57E5" w:rsidRDefault="002A1C45" w:rsidP="002A1C45">
      <w:pPr>
        <w:autoSpaceDE w:val="0"/>
        <w:autoSpaceDN w:val="0"/>
        <w:adjustRightInd w:val="0"/>
        <w:spacing w:after="0"/>
        <w:jc w:val="center"/>
        <w:rPr>
          <w:rFonts w:eastAsia="TimesNewRomanPSMT" w:cs="TimesNewRomanPSMT"/>
          <w:b/>
          <w:i/>
          <w:color w:val="000080"/>
          <w:sz w:val="2"/>
          <w:szCs w:val="36"/>
          <w:lang w:val="uk-UA"/>
        </w:rPr>
      </w:pP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958975" cy="2857500"/>
            <wp:effectExtent l="19050" t="0" r="3175" b="0"/>
            <wp:wrapTight wrapText="bothSides">
              <wp:wrapPolygon edited="0">
                <wp:start x="-210" y="0"/>
                <wp:lineTo x="-210" y="21456"/>
                <wp:lineTo x="21635" y="21456"/>
                <wp:lineTo x="21635" y="0"/>
                <wp:lineTo x="-210" y="0"/>
              </wp:wrapPolygon>
            </wp:wrapTight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алишені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громадських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місцях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/>
          <w:sz w:val="28"/>
          <w:szCs w:val="28"/>
          <w:lang w:val="uk-UA"/>
        </w:rPr>
        <w:t>(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транспорті</w:t>
      </w:r>
      <w:r w:rsidRPr="002A1C45">
        <w:rPr>
          <w:rFonts w:eastAsia="TimesNewRomanPSMT"/>
          <w:sz w:val="28"/>
          <w:szCs w:val="28"/>
          <w:lang w:val="uk-UA"/>
        </w:rPr>
        <w:t xml:space="preserve">)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без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 xml:space="preserve">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нагляду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валізи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пакунки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коробки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тощо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овнішня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схожість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боєприпаси</w:t>
      </w:r>
      <w:r w:rsidRPr="002A1C45">
        <w:rPr>
          <w:rFonts w:eastAsia="TimesNewRomanPSMT"/>
          <w:sz w:val="28"/>
          <w:szCs w:val="28"/>
          <w:lang w:val="uk-UA"/>
        </w:rPr>
        <w:t>,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навчально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-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імітаційні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сигнальні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освітлювальні</w:t>
      </w:r>
      <w:r w:rsidRPr="002A1C45">
        <w:rPr>
          <w:rFonts w:eastAsia="TimesNewRomanPSMT"/>
          <w:sz w:val="28"/>
          <w:szCs w:val="28"/>
          <w:lang w:val="uk-UA"/>
        </w:rPr>
        <w:t>,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піротехнічні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вироби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аявність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антени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радіоприймальним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jc w:val="both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пристроєм</w:t>
      </w:r>
      <w:r w:rsidRPr="002A1C45">
        <w:rPr>
          <w:rFonts w:eastAsia="TimesNewRomanPSMT"/>
          <w:sz w:val="28"/>
          <w:szCs w:val="28"/>
          <w:lang w:val="uk-UA"/>
        </w:rPr>
        <w:t>.</w:t>
      </w:r>
      <w:r w:rsidRPr="002A1C45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367665</wp:posOffset>
            </wp:positionV>
            <wp:extent cx="2628900" cy="2286000"/>
            <wp:effectExtent l="19050" t="0" r="0" b="0"/>
            <wp:wrapTight wrapText="bothSides">
              <wp:wrapPolygon edited="0">
                <wp:start x="-157" y="0"/>
                <wp:lineTo x="-157" y="21420"/>
                <wp:lineTo x="21600" y="21420"/>
                <wp:lineTo x="21600" y="0"/>
                <wp:lineTo x="-157" y="0"/>
              </wp:wrapPolygon>
            </wp:wrapTight>
            <wp:docPr id="6" name="Рисунок 6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аявність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годинникового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механізму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або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 w:cs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електронного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uk-UA"/>
        </w:rPr>
      </w:pPr>
      <w:r w:rsidRPr="002A1C45">
        <w:rPr>
          <w:rFonts w:eastAsia="TimesNewRomanPSMT"/>
          <w:sz w:val="28"/>
          <w:szCs w:val="28"/>
          <w:lang w:val="uk-UA"/>
        </w:rPr>
        <w:t xml:space="preserve"> 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таймера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аявність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запаху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гасу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розчинника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пально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-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мастильних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і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хімічних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матеріалів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тощо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rPr>
          <w:rFonts w:ascii="TimesNewRomanPSMT" w:eastAsia="TimesNewRomanPSMT" w:cs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аявність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елементів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eastAsia="TimesNewRomanPSMT"/>
          <w:sz w:val="28"/>
          <w:szCs w:val="28"/>
          <w:lang w:val="uk-UA"/>
        </w:rPr>
        <w:t>(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деталей</w:t>
      </w:r>
      <w:r w:rsidRPr="002A1C45">
        <w:rPr>
          <w:rFonts w:eastAsia="TimesNewRomanPSMT"/>
          <w:sz w:val="28"/>
          <w:szCs w:val="28"/>
          <w:lang w:val="uk-UA"/>
        </w:rPr>
        <w:t xml:space="preserve">),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що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не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відповідають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їх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прямому</w:t>
      </w:r>
      <w:r w:rsidRPr="002A1C45">
        <w:rPr>
          <w:rFonts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призначенню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2A1C45" w:rsidRDefault="002A1C45" w:rsidP="002A1C45">
      <w:pPr>
        <w:autoSpaceDE w:val="0"/>
        <w:autoSpaceDN w:val="0"/>
        <w:adjustRightInd w:val="0"/>
        <w:spacing w:after="0"/>
        <w:ind w:left="360" w:hanging="360"/>
        <w:rPr>
          <w:rFonts w:eastAsia="TimesNewRomanPSMT"/>
          <w:sz w:val="28"/>
          <w:szCs w:val="28"/>
          <w:lang w:val="uk-UA"/>
        </w:rPr>
      </w:pPr>
      <w:r w:rsidRPr="002A1C45">
        <w:rPr>
          <w:rFonts w:ascii="Monotype Corsiva" w:eastAsia="TimesNewRomanPSMT" w:hAnsi="Monotype Corsiva" w:cs="TimesNewRomanPSMT"/>
          <w:b/>
          <w:shadow/>
          <w:sz w:val="28"/>
          <w:szCs w:val="28"/>
          <w:lang w:val="uk-UA"/>
        </w:rPr>
        <w:t>Н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аявність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у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дверях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вікнах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будь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-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яких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сторонніх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підозрілих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предметів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закріплених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за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допомогою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дроту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ниток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важелів</w:t>
      </w:r>
      <w:r w:rsidRPr="002A1C45">
        <w:rPr>
          <w:rFonts w:eastAsia="TimesNewRomanPSMT"/>
          <w:sz w:val="28"/>
          <w:szCs w:val="28"/>
          <w:lang w:val="uk-UA"/>
        </w:rPr>
        <w:t xml:space="preserve">,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шнурів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 xml:space="preserve"> </w:t>
      </w:r>
      <w:r w:rsidRPr="002A1C45">
        <w:rPr>
          <w:rFonts w:ascii="TimesNewRomanPSMT" w:eastAsia="TimesNewRomanPSMT" w:cs="TimesNewRomanPSMT"/>
          <w:sz w:val="28"/>
          <w:szCs w:val="28"/>
          <w:lang w:val="uk-UA"/>
        </w:rPr>
        <w:t>тощо</w:t>
      </w:r>
      <w:r w:rsidRPr="002A1C45">
        <w:rPr>
          <w:rFonts w:eastAsia="TimesNewRomanPSMT"/>
          <w:sz w:val="28"/>
          <w:szCs w:val="28"/>
          <w:lang w:val="uk-UA"/>
        </w:rPr>
        <w:t>.</w:t>
      </w: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140335</wp:posOffset>
            </wp:positionV>
            <wp:extent cx="3815715" cy="2449195"/>
            <wp:effectExtent l="19050" t="0" r="0" b="0"/>
            <wp:wrapTight wrapText="bothSides">
              <wp:wrapPolygon edited="0">
                <wp:start x="-108" y="0"/>
                <wp:lineTo x="-108" y="21505"/>
                <wp:lineTo x="21568" y="21505"/>
                <wp:lineTo x="21568" y="0"/>
                <wp:lineTo x="-108" y="0"/>
              </wp:wrapPolygon>
            </wp:wrapTight>
            <wp:docPr id="9" name="Рисунок 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Pr="003011B6" w:rsidRDefault="002A1C45" w:rsidP="002A1C45">
      <w:pPr>
        <w:spacing w:after="0"/>
        <w:rPr>
          <w:rFonts w:eastAsia="TimesNewRomanPSMT"/>
          <w:sz w:val="28"/>
          <w:szCs w:val="28"/>
          <w:lang w:val="uk-UA"/>
        </w:rPr>
      </w:pPr>
    </w:p>
    <w:p w:rsidR="002A1C45" w:rsidRPr="003011B6" w:rsidRDefault="002A1C45" w:rsidP="002A1C45">
      <w:pPr>
        <w:tabs>
          <w:tab w:val="left" w:pos="1300"/>
        </w:tabs>
        <w:spacing w:after="0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ab/>
      </w:r>
    </w:p>
    <w:p w:rsidR="00405FD2" w:rsidRPr="002A1C45" w:rsidRDefault="00405FD2" w:rsidP="002A1C45">
      <w:pPr>
        <w:spacing w:after="0"/>
        <w:rPr>
          <w:lang w:val="uk-UA"/>
        </w:rPr>
      </w:pPr>
    </w:p>
    <w:sectPr w:rsidR="00405FD2" w:rsidRPr="002A1C45" w:rsidSect="002A1C45">
      <w:footerReference w:type="even" r:id="rId14"/>
      <w:footerReference w:type="default" r:id="rId15"/>
      <w:pgSz w:w="11906" w:h="16838"/>
      <w:pgMar w:top="899" w:right="926" w:bottom="899" w:left="1260" w:header="708" w:footer="708" w:gutter="0"/>
      <w:pgBorders w:offsetFrom="page">
        <w:top w:val="champagneBottle" w:sz="17" w:space="24" w:color="auto"/>
        <w:left w:val="champagneBottle" w:sz="17" w:space="24" w:color="auto"/>
        <w:bottom w:val="champagneBottle" w:sz="17" w:space="24" w:color="auto"/>
        <w:right w:val="champagneBottl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B9" w:rsidRDefault="00405FD2" w:rsidP="006A7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BB9" w:rsidRDefault="00405F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B9" w:rsidRDefault="00405FD2" w:rsidP="006A7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C45">
      <w:rPr>
        <w:rStyle w:val="a5"/>
        <w:noProof/>
      </w:rPr>
      <w:t>4</w:t>
    </w:r>
    <w:r>
      <w:rPr>
        <w:rStyle w:val="a5"/>
      </w:rPr>
      <w:fldChar w:fldCharType="end"/>
    </w:r>
  </w:p>
  <w:p w:rsidR="00532BB9" w:rsidRDefault="00405FD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DEE"/>
    <w:multiLevelType w:val="hybridMultilevel"/>
    <w:tmpl w:val="3F62F3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F6E2D"/>
    <w:multiLevelType w:val="hybridMultilevel"/>
    <w:tmpl w:val="FA04F8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C45"/>
    <w:rsid w:val="002A1C45"/>
    <w:rsid w:val="0040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1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A1C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2015-01-29T03:26:00Z</dcterms:created>
  <dcterms:modified xsi:type="dcterms:W3CDTF">2015-01-29T03:34:00Z</dcterms:modified>
</cp:coreProperties>
</file>